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ROOECM0032ZPB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067847832"/>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60141608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sz w:val="22"/>
          <w:szCs w:val="22"/>
        </w:rPr>
      </w:pPr>
      <w:sdt>
        <w:sdtPr>
          <w:id w:val="115593996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E">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0">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3.267,40</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Bacău</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9">
            <w:pPr>
              <w:rPr/>
            </w:pPr>
            <w:sdt>
              <w:sdtPr>
                <w:id w:val="-124262187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77.95%</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33450449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22.05%</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3.267,40</w:t>
      </w: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1770"/>
        <w:gridCol w:w="7230"/>
        <w:tblGridChange w:id="0">
          <w:tblGrid>
            <w:gridCol w:w="1770"/>
            <w:gridCol w:w="72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A">
            <w:pPr>
              <w:spacing w:after="0" w:lineRule="auto"/>
              <w:rPr>
                <w:i w:val="1"/>
                <w:iCs w:val="1"/>
              </w:rPr>
            </w:pPr>
            <w:r w:rsidDel="00000000" w:rsidR="00000000" w:rsidRPr="00000000">
              <w:rPr>
                <w:i w:val="1"/>
                <w:iCs w:val="1"/>
                <w:sz w:val="22"/>
                <w:szCs w:val="22"/>
                <w:rtl w:val="0"/>
              </w:rPr>
              <w:t xml:space="preserve">91V0 Păduri dacice de fag (Symphyto-Fagion)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1386 Buxbaumia viridis</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1758 Ligularia sibirica</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1866 Galanthus nivalis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Melampyrum saxosum</w:t>
            </w:r>
          </w:p>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1086 Cucujus cinnaberinus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086">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2351 Salamandra salamandra</w:t>
            </w:r>
          </w:p>
          <w:p w:rsidR="00000000" w:rsidDel="00000000" w:rsidP="00000000" w:rsidRDefault="00000000" w:rsidRPr="00000000" w14:paraId="0000008C">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10605 Anguis colchica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91">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96">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9C">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A219 Strix aluco</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A321 Ficedula albicollis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A7">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A8">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A9">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sz w:val="22"/>
                <w:szCs w:val="22"/>
                <w:rtl w:val="0"/>
              </w:rPr>
              <w:t xml:space="preserve">Obiective specific</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sz w:val="22"/>
                <w:szCs w:val="22"/>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sz w:val="22"/>
                <w:szCs w:val="22"/>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sz w:val="22"/>
                <w:szCs w:val="22"/>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sz w:val="22"/>
                <w:szCs w:val="22"/>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sz w:val="22"/>
                <w:szCs w:val="22"/>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sz w:val="22"/>
                <w:szCs w:val="22"/>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sz w:val="22"/>
                <w:szCs w:val="22"/>
                <w:rtl w:val="0"/>
              </w:rPr>
              <w:t xml:space="preserve">Măsuri de conservare</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CC">
            <w:pPr>
              <w:spacing w:after="0" w:line="276" w:lineRule="auto"/>
              <w:jc w:val="both"/>
              <w:rPr>
                <w:i w:val="1"/>
                <w:iCs w:val="1"/>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CD">
            <w:pPr>
              <w:spacing w:after="0" w:line="276" w:lineRule="auto"/>
              <w:jc w:val="both"/>
              <w:rPr>
                <w:i w:val="1"/>
                <w:iCs w:val="1"/>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CF">
            <w:pPr>
              <w:spacing w:after="0" w:line="276" w:lineRule="auto"/>
              <w:jc w:val="both"/>
              <w:rPr>
                <w:i w:val="1"/>
                <w:iCs w:val="1"/>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D1">
            <w:pPr>
              <w:spacing w:after="0" w:line="276" w:lineRule="auto"/>
              <w:jc w:val="both"/>
              <w:rPr>
                <w:i w:val="1"/>
                <w:iCs w:val="1"/>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D2">
            <w:pPr>
              <w:spacing w:after="0" w:line="276" w:lineRule="auto"/>
              <w:jc w:val="both"/>
              <w:rPr>
                <w:i w:val="1"/>
                <w:iCs w:val="1"/>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D3">
            <w:pPr>
              <w:spacing w:after="0" w:line="276" w:lineRule="auto"/>
              <w:jc w:val="both"/>
              <w:rPr>
                <w:i w:val="1"/>
                <w:iCs w:val="1"/>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D4">
            <w:pPr>
              <w:spacing w:after="0" w:line="276" w:lineRule="auto"/>
              <w:jc w:val="both"/>
              <w:rPr>
                <w:i w:val="1"/>
                <w:iCs w:val="1"/>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D5">
            <w:pPr>
              <w:spacing w:after="0" w:line="276" w:lineRule="auto"/>
              <w:jc w:val="both"/>
              <w:rPr>
                <w:i w:val="1"/>
                <w:iCs w:val="1"/>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D6">
            <w:pPr>
              <w:spacing w:after="0" w:line="276" w:lineRule="auto"/>
              <w:jc w:val="both"/>
              <w:rPr>
                <w:i w:val="1"/>
                <w:iCs w:val="1"/>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D7">
            <w:pPr>
              <w:spacing w:after="0" w:line="276" w:lineRule="auto"/>
              <w:jc w:val="both"/>
              <w:rPr>
                <w:i w:val="1"/>
                <w:iCs w:val="1"/>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D8">
            <w:pPr>
              <w:spacing w:after="0" w:line="276" w:lineRule="auto"/>
              <w:jc w:val="both"/>
              <w:rPr>
                <w:i w:val="1"/>
                <w:iCs w:val="1"/>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D9">
            <w:pPr>
              <w:spacing w:after="0" w:line="276" w:lineRule="auto"/>
              <w:jc w:val="both"/>
              <w:rPr>
                <w:i w:val="1"/>
                <w:i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DC">
      <w:pPr>
        <w:rPr>
          <w:b w:val="1"/>
          <w:bCs w:val="1"/>
          <w:sz w:val="22"/>
          <w:szCs w:val="22"/>
        </w:rPr>
      </w:pPr>
      <w:r w:rsidDel="00000000" w:rsidR="00000000" w:rsidRPr="00000000">
        <w:rPr>
          <w:rtl w:val="0"/>
        </w:rPr>
      </w:r>
    </w:p>
    <w:p w:rsidR="00000000" w:rsidDel="00000000" w:rsidP="00000000" w:rsidRDefault="00000000" w:rsidRPr="00000000" w14:paraId="000000DD">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Botnariuc, N., Tatole, V. (Eds.) 2005. Cartea Roșie a Vertebratelor din România.</w:t>
      </w:r>
    </w:p>
    <w:p w:rsidR="00000000" w:rsidDel="00000000" w:rsidP="00000000" w:rsidRDefault="00000000" w:rsidRPr="00000000" w14:paraId="000000D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Candrea Bozga, Ș. B., Lazăr, G., Tudoran, G. M., Stăncioiu, P. T. 2009. Habitate forestiere de importanță comunitară incluse în proiectul LIFE05NAT/RO/000176: „Habitate prioritare alpine, subalpine şi forestiere din România” – Monitorizarea stării de conservare.</w:t>
      </w:r>
    </w:p>
    <w:p w:rsidR="00000000" w:rsidDel="00000000" w:rsidP="00000000" w:rsidRDefault="00000000" w:rsidRPr="00000000" w14:paraId="000000E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Roșu  C., Iancu I. 1977  “Stațiuni forestiere”, Vol. II, , Ed. Academiei R.S.R., București</w:t>
      </w:r>
    </w:p>
    <w:p w:rsidR="00000000" w:rsidDel="00000000" w:rsidP="00000000" w:rsidRDefault="00000000" w:rsidRPr="00000000" w14:paraId="000000E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Ciocârlan, V. 1988. Flora ilustrată a României. Vol. 1: Determinarea și descrierea speciilor spontane și cultivate. Editura Ceres, București, 511 pp.</w:t>
      </w:r>
    </w:p>
    <w:p w:rsidR="00000000" w:rsidDel="00000000" w:rsidP="00000000" w:rsidRDefault="00000000" w:rsidRPr="00000000" w14:paraId="000000E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Dihoru, G., Negrean, G. 2009. Red Book of Vascular Plants in Romania. Romanian Academy &amp; Bucharest Institute of Biology.</w:t>
      </w:r>
    </w:p>
    <w:p w:rsidR="00000000" w:rsidDel="00000000" w:rsidP="00000000" w:rsidRDefault="00000000" w:rsidRPr="00000000" w14:paraId="000000E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Ecologie forestieră:(cu elemente de ecologie generală). Ceres.</w:t>
      </w:r>
    </w:p>
    <w:p w:rsidR="00000000" w:rsidDel="00000000" w:rsidP="00000000" w:rsidRDefault="00000000" w:rsidRPr="00000000" w14:paraId="000000E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Popescu, A., Păucă-Comănescu, M., Mihăilescu, S., Biriş, I.-A. 2005. Habitatele din România. Edit. Tehnică Silvică, București.</w:t>
      </w:r>
    </w:p>
    <w:p w:rsidR="00000000" w:rsidDel="00000000" w:rsidP="00000000" w:rsidRDefault="00000000" w:rsidRPr="00000000" w14:paraId="000000E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O. (Eds.), Alexiu, V., Anastasiu, P., Bărbos, M., Burescu, P., Coldea, Gh., Drăgulescu, C., Făgăraș, M., Goia, I., Groza, Gh., Micu, D., Mihăilescu, S., Moldovan, O., Nicolin, A., Niculescu, M., Oprea, A., Oroian, S., Păucă-Comănescu, M., Sârbu, I., Șuteu, A. 2008. Manual de interpretare a habitatelor Natura 2000 din România. Edit. Risoprint, Cluj-Napoca, 101 pp.</w:t>
      </w:r>
    </w:p>
    <w:p w:rsidR="00000000" w:rsidDel="00000000" w:rsidP="00000000" w:rsidRDefault="00000000" w:rsidRPr="00000000" w14:paraId="000000E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Oltean, M., Negrean, G., Popescu, A., Roman, N., Dihoru, G., Sanda, V., Mihăilescu, S. 1994. Lista Roșie a plantelor superioare din România. I. Studii, sinteze, documentații de ecologie. Edit. Academiei Române, București.</w:t>
      </w:r>
    </w:p>
    <w:p w:rsidR="00000000" w:rsidDel="00000000" w:rsidP="00000000" w:rsidRDefault="00000000" w:rsidRPr="00000000" w14:paraId="000000E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Sanda, V., Öllerer, K., Burescu, P. 2008. Fitocenozele din România. Sintaxonomie, structură, dinamică și evoluție.</w:t>
      </w:r>
    </w:p>
    <w:p w:rsidR="00000000" w:rsidDel="00000000" w:rsidP="00000000" w:rsidRDefault="00000000" w:rsidRPr="00000000" w14:paraId="000000E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Sârbu, I., Ștefan, N., Oprea, A. 2013. Plante vasculare din România. Determinator ilustrat de teren. Edit. Victor B Victor, București.</w:t>
      </w:r>
    </w:p>
    <w:p w:rsidR="00000000" w:rsidDel="00000000" w:rsidP="00000000" w:rsidRDefault="00000000" w:rsidRPr="00000000" w14:paraId="000000E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Stăncioiu, P. T., Lazăr, G., Tudoran, G. M., Bozga, Ș. B. C., Predoiu, G., Șofletea, N. 2008. Habitatele forestiere de interes comunitar incluse în proiectul LIFE05NAT/RO/000176: Habitate prioritare alpine, subalpine și forestiere din România. Măsuri de gospodărire. Editura Universității Transilvania, Brașov, 184 pp.</w:t>
      </w:r>
    </w:p>
    <w:p w:rsidR="00000000" w:rsidDel="00000000" w:rsidP="00000000" w:rsidRDefault="00000000" w:rsidRPr="00000000" w14:paraId="000000E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EB">
      <w:pPr>
        <w:jc w:val="center"/>
        <w:rPr>
          <w:b w:val="1"/>
          <w:bCs w:val="1"/>
          <w:sz w:val="22"/>
          <w:szCs w:val="22"/>
        </w:rPr>
      </w:pPr>
      <w:r w:rsidDel="00000000" w:rsidR="00000000" w:rsidRPr="00000000">
        <w:rPr>
          <w:rtl w:val="0"/>
        </w:rPr>
      </w:r>
    </w:p>
    <w:p w:rsidR="00000000" w:rsidDel="00000000" w:rsidP="00000000" w:rsidRDefault="00000000" w:rsidRPr="00000000" w14:paraId="000000EC">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17 martie 2026 – Bacău, jud. Bacău; </w:t>
      </w:r>
    </w:p>
    <w:p w:rsidR="00000000" w:rsidDel="00000000" w:rsidP="00000000" w:rsidRDefault="00000000" w:rsidRPr="00000000" w14:paraId="000000F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factorii interesați din județul Bacău.</w:t>
      </w:r>
    </w:p>
    <w:p w:rsidR="00000000" w:rsidDel="00000000" w:rsidP="00000000" w:rsidRDefault="00000000" w:rsidRPr="00000000" w14:paraId="000000F1">
      <w:pPr>
        <w:rPr>
          <w:b w:val="1"/>
          <w:bCs w:val="1"/>
          <w:sz w:val="22"/>
          <w:szCs w:val="22"/>
        </w:rPr>
      </w:pPr>
      <w:r w:rsidDel="00000000" w:rsidR="00000000" w:rsidRPr="00000000">
        <w:rPr>
          <w:rtl w:val="0"/>
        </w:rPr>
      </w:r>
    </w:p>
    <w:p w:rsidR="00000000" w:rsidDel="00000000" w:rsidP="00000000" w:rsidRDefault="00000000" w:rsidRPr="00000000" w14:paraId="000000F2">
      <w:pPr>
        <w:rPr>
          <w:b w:val="1"/>
          <w:bCs w:val="1"/>
          <w:sz w:val="22"/>
          <w:szCs w:val="22"/>
        </w:rPr>
      </w:pPr>
      <w:r w:rsidDel="00000000" w:rsidR="00000000" w:rsidRPr="00000000">
        <w:rPr>
          <w:rtl w:val="0"/>
        </w:rPr>
      </w:r>
    </w:p>
    <w:p w:rsidR="00000000" w:rsidDel="00000000" w:rsidP="00000000" w:rsidRDefault="00000000" w:rsidRPr="00000000" w14:paraId="000000F3">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F4">
      <w:pPr>
        <w:jc w:val="center"/>
        <w:rPr/>
      </w:pPr>
      <w:r w:rsidDel="00000000" w:rsidR="00000000" w:rsidRPr="00000000">
        <w:rPr>
          <w:rtl w:val="0"/>
        </w:rPr>
      </w:r>
    </w:p>
    <w:p w:rsidR="00000000" w:rsidDel="00000000" w:rsidP="00000000" w:rsidRDefault="00000000" w:rsidRPr="00000000" w14:paraId="000000F5">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Link: </w:t>
      </w:r>
      <w:hyperlink r:id="rId7">
        <w:r w:rsidDel="00000000" w:rsidR="00000000" w:rsidRPr="00000000">
          <w:rPr>
            <w:color w:val="467886"/>
            <w:sz w:val="22"/>
            <w:szCs w:val="22"/>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kPBpTygJvnvTsBR39EEGDzNy/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fUi1TUldqX1pkbTFuRGI2R2tVdlNuU3ZhNUtwWG9F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